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77777777" w:rsidR="004F2D85" w:rsidRDefault="004F2D85" w:rsidP="00040642">
            <w:pPr>
              <w:rPr>
                <w:rFonts w:ascii="Arial" w:hAnsi="Arial" w:cs="Arial"/>
                <w:sz w:val="24"/>
                <w:szCs w:val="24"/>
              </w:rPr>
            </w:pPr>
            <w:r>
              <w:rPr>
                <w:rFonts w:ascii="Arial" w:hAnsi="Arial" w:cs="Arial"/>
                <w:sz w:val="24"/>
                <w:szCs w:val="24"/>
              </w:rPr>
              <w:t xml:space="preserve">              </w:t>
            </w:r>
          </w:p>
          <w:p w14:paraId="3CDCCDE2" w14:textId="6B39477E"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2A905891"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00F67B3B" w:rsidRPr="00EC372E">
              <w:rPr>
                <w:rFonts w:ascii="Arial" w:hAnsi="Arial" w:cs="Arial"/>
                <w:sz w:val="24"/>
                <w:szCs w:val="24"/>
              </w:rPr>
              <w:t>Goldhill</w:t>
            </w:r>
            <w:r w:rsidRPr="00EC372E">
              <w:rPr>
                <w:rFonts w:ascii="Arial" w:hAnsi="Arial" w:cs="Arial"/>
                <w:sz w:val="24"/>
                <w:szCs w:val="24"/>
              </w:rPr>
              <w:t xml:space="preserve">    </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160B9C31"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F67B3B" w:rsidRPr="00EC372E">
              <w:rPr>
                <w:rFonts w:ascii="Arial" w:hAnsi="Arial" w:cs="Arial"/>
                <w:sz w:val="24"/>
                <w:szCs w:val="24"/>
              </w:rPr>
              <w:t>Professor</w:t>
            </w:r>
          </w:p>
          <w:p w14:paraId="75DA2344" w14:textId="77777777" w:rsidR="004F2D85" w:rsidRPr="000C1DFD" w:rsidRDefault="004F2D85" w:rsidP="00040642">
            <w:pPr>
              <w:rPr>
                <w:rFonts w:ascii="Arial" w:hAnsi="Arial" w:cs="Arial"/>
                <w:b/>
                <w:bCs/>
                <w:sz w:val="24"/>
                <w:szCs w:val="24"/>
              </w:rPr>
            </w:pPr>
          </w:p>
          <w:p w14:paraId="4C87EBC8" w14:textId="6155905E"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F67B3B" w:rsidRPr="00EC372E">
              <w:rPr>
                <w:rFonts w:ascii="Arial" w:hAnsi="Arial" w:cs="Arial"/>
                <w:sz w:val="24"/>
                <w:szCs w:val="24"/>
              </w:rPr>
              <w:t>Simon</w:t>
            </w:r>
          </w:p>
          <w:p w14:paraId="156D4248" w14:textId="77777777" w:rsidR="004F2D85" w:rsidRPr="000C1DFD" w:rsidRDefault="004F2D85" w:rsidP="00040642">
            <w:pPr>
              <w:rPr>
                <w:rFonts w:ascii="Arial" w:hAnsi="Arial" w:cs="Arial"/>
                <w:b/>
                <w:bCs/>
                <w:sz w:val="24"/>
                <w:szCs w:val="24"/>
              </w:rPr>
            </w:pPr>
          </w:p>
          <w:p w14:paraId="1B9489D8" w14:textId="1E0E2827"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Pr>
                <w:rFonts w:ascii="Arial" w:hAnsi="Arial" w:cs="Arial"/>
                <w:b/>
                <w:bCs/>
                <w:sz w:val="24"/>
                <w:szCs w:val="24"/>
              </w:rPr>
              <w:t xml:space="preserve"> </w:t>
            </w:r>
            <w:r w:rsidR="00F67B3B" w:rsidRPr="00EC372E">
              <w:rPr>
                <w:rFonts w:ascii="Arial" w:hAnsi="Arial" w:cs="Arial"/>
                <w:sz w:val="24"/>
                <w:szCs w:val="24"/>
              </w:rPr>
              <w:t>Male</w:t>
            </w:r>
          </w:p>
          <w:p w14:paraId="2C78D419" w14:textId="77777777" w:rsidR="004F2D85" w:rsidRPr="000C1DFD" w:rsidRDefault="004F2D85" w:rsidP="00040642">
            <w:pPr>
              <w:rPr>
                <w:rFonts w:ascii="Arial" w:hAnsi="Arial" w:cs="Arial"/>
                <w:b/>
                <w:bCs/>
                <w:sz w:val="24"/>
                <w:szCs w:val="24"/>
              </w:rPr>
            </w:pPr>
          </w:p>
          <w:p w14:paraId="326D9880" w14:textId="6E2FF1CA" w:rsidR="004F2D85" w:rsidRDefault="004F2D85" w:rsidP="00040642">
            <w:pPr>
              <w:rPr>
                <w:rFonts w:ascii="Arial" w:hAnsi="Arial" w:cs="Arial"/>
                <w:sz w:val="24"/>
                <w:szCs w:val="24"/>
              </w:rPr>
            </w:pPr>
            <w:r w:rsidRPr="000C1DFD">
              <w:rPr>
                <w:rFonts w:ascii="Arial" w:hAnsi="Arial" w:cs="Arial"/>
                <w:b/>
                <w:bCs/>
                <w:sz w:val="24"/>
                <w:szCs w:val="24"/>
              </w:rPr>
              <w:t xml:space="preserve">Occupation: </w:t>
            </w:r>
            <w:r w:rsidR="00F67B3B" w:rsidRPr="00EC372E">
              <w:rPr>
                <w:rFonts w:ascii="Arial" w:hAnsi="Arial" w:cs="Arial"/>
                <w:sz w:val="24"/>
                <w:szCs w:val="24"/>
              </w:rPr>
              <w:t>Professor</w:t>
            </w: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3F6AA7FA"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r w:rsidR="00F67B3B" w:rsidRPr="009F16C5">
              <w:rPr>
                <w:rFonts w:ascii="Arial" w:hAnsi="Arial" w:cs="Arial"/>
                <w:sz w:val="24"/>
                <w:szCs w:val="24"/>
              </w:rPr>
              <w:t>8</w:t>
            </w:r>
            <w:r w:rsidR="00F67B3B" w:rsidRPr="009F16C5">
              <w:rPr>
                <w:rFonts w:ascii="Arial" w:hAnsi="Arial" w:cs="Arial"/>
                <w:sz w:val="24"/>
                <w:szCs w:val="24"/>
                <w:vertAlign w:val="superscript"/>
              </w:rPr>
              <w:t>th</w:t>
            </w:r>
            <w:r w:rsidR="00F67B3B" w:rsidRPr="009F16C5">
              <w:rPr>
                <w:rFonts w:ascii="Arial" w:hAnsi="Arial" w:cs="Arial"/>
                <w:sz w:val="24"/>
                <w:szCs w:val="24"/>
              </w:rPr>
              <w:t xml:space="preserve"> March, 2022</w:t>
            </w:r>
          </w:p>
          <w:p w14:paraId="45BE0674" w14:textId="77777777" w:rsidR="004F2D85" w:rsidRPr="000C1DFD" w:rsidRDefault="004F2D85" w:rsidP="00040642">
            <w:pPr>
              <w:rPr>
                <w:rFonts w:ascii="Arial" w:hAnsi="Arial" w:cs="Arial"/>
                <w:b/>
                <w:bCs/>
                <w:sz w:val="24"/>
                <w:szCs w:val="24"/>
              </w:rPr>
            </w:pPr>
          </w:p>
          <w:p w14:paraId="260A5E84"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p>
          <w:p w14:paraId="76D8C7A4" w14:textId="77777777" w:rsidR="004F2D85" w:rsidRPr="000C1DFD" w:rsidRDefault="004F2D85" w:rsidP="00040642">
            <w:pPr>
              <w:rPr>
                <w:rFonts w:ascii="Arial" w:hAnsi="Arial" w:cs="Arial"/>
                <w:b/>
                <w:bCs/>
                <w:sz w:val="24"/>
                <w:szCs w:val="24"/>
              </w:rPr>
            </w:pPr>
          </w:p>
          <w:p w14:paraId="756FC8AC" w14:textId="5FDE11E4" w:rsidR="004F2D85" w:rsidRPr="00FC5CC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FC5CC0">
              <w:rPr>
                <w:rFonts w:ascii="Arial" w:hAnsi="Arial" w:cs="Arial"/>
                <w:sz w:val="24"/>
                <w:szCs w:val="24"/>
              </w:rPr>
              <w:t xml:space="preserve">Katherine </w:t>
            </w:r>
            <w:proofErr w:type="spellStart"/>
            <w:r w:rsidR="00FC5CC0">
              <w:rPr>
                <w:rFonts w:ascii="Arial" w:hAnsi="Arial" w:cs="Arial"/>
                <w:sz w:val="24"/>
                <w:szCs w:val="24"/>
              </w:rPr>
              <w:t>Moar</w:t>
            </w:r>
            <w:proofErr w:type="spellEnd"/>
            <w:r w:rsidR="00FC5CC0">
              <w:rPr>
                <w:rFonts w:ascii="Arial" w:hAnsi="Arial" w:cs="Arial"/>
                <w:sz w:val="24"/>
                <w:szCs w:val="24"/>
              </w:rPr>
              <w:t xml:space="preserve"> </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2B5DFD3B" w:rsidR="004F2D85" w:rsidRPr="00C42C77"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C42C77">
              <w:rPr>
                <w:rFonts w:ascii="Arial" w:hAnsi="Arial" w:cs="Arial"/>
                <w:sz w:val="24"/>
                <w:szCs w:val="24"/>
              </w:rPr>
              <w:t>00:39:19</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040642">
            <w:pPr>
              <w:rPr>
                <w:rFonts w:ascii="Arial" w:hAnsi="Arial" w:cs="Arial"/>
              </w:rPr>
            </w:pPr>
          </w:p>
          <w:p w14:paraId="7F80F049" w14:textId="77777777" w:rsidR="004F2D85" w:rsidRPr="000C1DFD" w:rsidRDefault="004F2D85" w:rsidP="00040642">
            <w:pPr>
              <w:rPr>
                <w:rFonts w:ascii="Arial" w:hAnsi="Arial" w:cs="Arial"/>
              </w:rPr>
            </w:pP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3ED0FE8D" w:rsidR="004F2D85" w:rsidRPr="000C1DFD" w:rsidRDefault="001C48AF" w:rsidP="00040642">
            <w:pPr>
              <w:rPr>
                <w:rFonts w:ascii="Arial" w:hAnsi="Arial" w:cs="Arial"/>
              </w:rPr>
            </w:pPr>
            <w:r>
              <w:rPr>
                <w:rFonts w:ascii="Arial" w:hAnsi="Arial" w:cs="Arial"/>
              </w:rPr>
              <w:t xml:space="preserve">Professor Simon Goldhill, Executive Director of the Cambridge Greek Play, describes the behind-the-scenes process of staging a production in Ancient Greek. He discusses the </w:t>
            </w:r>
            <w:r>
              <w:rPr>
                <w:rFonts w:ascii="Arial" w:hAnsi="Arial" w:cs="Arial"/>
              </w:rPr>
              <w:lastRenderedPageBreak/>
              <w:t xml:space="preserve">controversial introduction of surtitles, the Greek Play’s famous alumni, and the longstanding relationship between Cambridge Arts Theatre and the Greek Play itself. </w:t>
            </w: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54375E83" w:rsidR="004F2D85" w:rsidRPr="001C48AF" w:rsidRDefault="001C48AF" w:rsidP="00040642">
            <w:pPr>
              <w:rPr>
                <w:rFonts w:ascii="Arial" w:hAnsi="Arial" w:cs="Arial"/>
              </w:rPr>
            </w:pPr>
            <w:r>
              <w:rPr>
                <w:rFonts w:ascii="Arial" w:hAnsi="Arial" w:cs="Arial"/>
              </w:rPr>
              <w:t>Greek Play</w:t>
            </w:r>
            <w:r>
              <w:rPr>
                <w:rFonts w:ascii="Arial" w:hAnsi="Arial" w:cs="Arial"/>
              </w:rPr>
              <w:t xml:space="preserve">, </w:t>
            </w:r>
            <w:r>
              <w:rPr>
                <w:rFonts w:ascii="Arial" w:hAnsi="Arial" w:cs="Arial"/>
              </w:rPr>
              <w:t xml:space="preserve">Euripides’ </w:t>
            </w:r>
            <w:r w:rsidRPr="00987BB1">
              <w:rPr>
                <w:rFonts w:ascii="Arial" w:hAnsi="Arial" w:cs="Arial"/>
                <w:i/>
                <w:iCs/>
              </w:rPr>
              <w:t>Electra</w:t>
            </w:r>
            <w:r>
              <w:rPr>
                <w:rFonts w:ascii="Arial" w:hAnsi="Arial" w:cs="Arial"/>
                <w:i/>
                <w:iCs/>
              </w:rPr>
              <w:t xml:space="preserve">, </w:t>
            </w:r>
            <w:r>
              <w:rPr>
                <w:rFonts w:ascii="Arial" w:hAnsi="Arial" w:cs="Arial"/>
              </w:rPr>
              <w:t>Cambridge University</w:t>
            </w:r>
            <w:r>
              <w:rPr>
                <w:rFonts w:ascii="Arial" w:hAnsi="Arial" w:cs="Arial"/>
              </w:rPr>
              <w:t xml:space="preserve">, </w:t>
            </w:r>
            <w:r>
              <w:rPr>
                <w:rFonts w:ascii="Arial" w:hAnsi="Arial" w:cs="Arial"/>
              </w:rPr>
              <w:t>Corn Exchange</w:t>
            </w:r>
            <w:r>
              <w:rPr>
                <w:rFonts w:ascii="Arial" w:hAnsi="Arial" w:cs="Arial"/>
              </w:rPr>
              <w:t xml:space="preserve">, </w:t>
            </w:r>
            <w:r>
              <w:rPr>
                <w:rFonts w:ascii="Arial" w:hAnsi="Arial" w:cs="Arial"/>
              </w:rPr>
              <w:t xml:space="preserve">Sophocles’ </w:t>
            </w:r>
            <w:r w:rsidRPr="00174D8B">
              <w:rPr>
                <w:rFonts w:ascii="Arial" w:hAnsi="Arial" w:cs="Arial"/>
                <w:i/>
                <w:iCs/>
              </w:rPr>
              <w:t>Electra</w:t>
            </w:r>
            <w:r>
              <w:rPr>
                <w:rFonts w:ascii="Arial" w:hAnsi="Arial" w:cs="Arial"/>
              </w:rPr>
              <w:t xml:space="preserve">, </w:t>
            </w:r>
            <w:r w:rsidRPr="00174D8B">
              <w:rPr>
                <w:rFonts w:ascii="Arial" w:hAnsi="Arial" w:cs="Arial"/>
                <w:i/>
                <w:iCs/>
              </w:rPr>
              <w:t>Oedipus</w:t>
            </w:r>
            <w:r>
              <w:rPr>
                <w:rFonts w:ascii="Arial" w:hAnsi="Arial" w:cs="Arial"/>
                <w:i/>
                <w:iCs/>
              </w:rPr>
              <w:t xml:space="preserve">, </w:t>
            </w:r>
            <w:r>
              <w:rPr>
                <w:rFonts w:ascii="Arial" w:hAnsi="Arial" w:cs="Arial"/>
              </w:rPr>
              <w:t xml:space="preserve">Aristophanes’ </w:t>
            </w:r>
            <w:r w:rsidRPr="00174D8B">
              <w:rPr>
                <w:rFonts w:ascii="Arial" w:hAnsi="Arial" w:cs="Arial"/>
                <w:i/>
                <w:iCs/>
              </w:rPr>
              <w:t>The Frogs</w:t>
            </w:r>
            <w:r>
              <w:rPr>
                <w:rFonts w:ascii="Arial" w:hAnsi="Arial" w:cs="Arial"/>
                <w:i/>
                <w:iCs/>
              </w:rPr>
              <w:t xml:space="preserve">, </w:t>
            </w:r>
            <w:r w:rsidRPr="00174D8B">
              <w:rPr>
                <w:rFonts w:ascii="Arial" w:hAnsi="Arial" w:cs="Arial"/>
                <w:i/>
                <w:iCs/>
              </w:rPr>
              <w:t>Prometheus Bound</w:t>
            </w:r>
            <w:r>
              <w:rPr>
                <w:rFonts w:ascii="Arial" w:hAnsi="Arial" w:cs="Arial"/>
              </w:rPr>
              <w:t xml:space="preserve">, </w:t>
            </w:r>
            <w:r>
              <w:rPr>
                <w:rFonts w:ascii="Arial" w:hAnsi="Arial" w:cs="Arial"/>
              </w:rPr>
              <w:t>Tom Hiddleston</w:t>
            </w:r>
            <w:r>
              <w:rPr>
                <w:rFonts w:ascii="Arial" w:hAnsi="Arial" w:cs="Arial"/>
              </w:rPr>
              <w:t xml:space="preserve">, </w:t>
            </w:r>
            <w:r w:rsidRPr="00174D8B">
              <w:rPr>
                <w:rFonts w:ascii="Arial" w:hAnsi="Arial" w:cs="Arial"/>
                <w:i/>
                <w:iCs/>
              </w:rPr>
              <w:t>The Persians</w:t>
            </w:r>
            <w:r>
              <w:rPr>
                <w:rFonts w:ascii="Arial" w:hAnsi="Arial" w:cs="Arial"/>
                <w:i/>
                <w:iCs/>
              </w:rPr>
              <w:t xml:space="preserve">, </w:t>
            </w:r>
            <w:r w:rsidRPr="00174D8B">
              <w:rPr>
                <w:rFonts w:ascii="Arial" w:hAnsi="Arial" w:cs="Arial"/>
                <w:i/>
                <w:iCs/>
              </w:rPr>
              <w:t>The Cyclops.</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77777777" w:rsidR="004F2D85" w:rsidRPr="000C1DFD" w:rsidRDefault="004F2D85" w:rsidP="00040642">
            <w:pPr>
              <w:rPr>
                <w:rFonts w:ascii="Arial" w:hAnsi="Arial" w:cs="Arial"/>
                <w:b/>
                <w:bCs/>
              </w:rPr>
            </w:pPr>
            <w:r w:rsidRPr="000C1DFD">
              <w:rPr>
                <w:rFonts w:ascii="Arial" w:hAnsi="Arial" w:cs="Arial"/>
                <w:b/>
                <w:bCs/>
              </w:rPr>
              <w:t>00.00</w:t>
            </w:r>
          </w:p>
        </w:tc>
        <w:tc>
          <w:tcPr>
            <w:tcW w:w="6372" w:type="dxa"/>
          </w:tcPr>
          <w:p w14:paraId="0AE08196" w14:textId="00650781" w:rsidR="004F2D85" w:rsidRPr="00594994" w:rsidRDefault="00987BB1" w:rsidP="00040642">
            <w:pPr>
              <w:rPr>
                <w:rFonts w:ascii="Arial" w:hAnsi="Arial" w:cs="Arial"/>
              </w:rPr>
            </w:pPr>
            <w:r>
              <w:rPr>
                <w:rFonts w:ascii="Arial" w:hAnsi="Arial" w:cs="Arial"/>
              </w:rPr>
              <w:t>Goldhill d</w:t>
            </w:r>
            <w:r w:rsidR="00F67B3B">
              <w:rPr>
                <w:rFonts w:ascii="Arial" w:hAnsi="Arial" w:cs="Arial"/>
              </w:rPr>
              <w:t xml:space="preserve">escribes his relationship to the Arts: </w:t>
            </w:r>
            <w:r>
              <w:rPr>
                <w:rFonts w:ascii="Arial" w:hAnsi="Arial" w:cs="Arial"/>
              </w:rPr>
              <w:t xml:space="preserve">he </w:t>
            </w:r>
            <w:r w:rsidR="00F67B3B">
              <w:rPr>
                <w:rFonts w:ascii="Arial" w:hAnsi="Arial" w:cs="Arial"/>
              </w:rPr>
              <w:t>has been working here for more than 20 years as producer of the Greek Play. He is now head of the Greek Play Committee.</w:t>
            </w:r>
          </w:p>
        </w:tc>
      </w:tr>
      <w:tr w:rsidR="00943BC9" w:rsidRPr="00594994" w14:paraId="68F17E6D" w14:textId="77777777" w:rsidTr="00040642">
        <w:tc>
          <w:tcPr>
            <w:tcW w:w="2644" w:type="dxa"/>
          </w:tcPr>
          <w:p w14:paraId="0790E0F8" w14:textId="373BB049" w:rsidR="00943BC9" w:rsidRPr="000C1DFD" w:rsidRDefault="00943BC9" w:rsidP="00040642">
            <w:pPr>
              <w:rPr>
                <w:rFonts w:ascii="Arial" w:hAnsi="Arial" w:cs="Arial"/>
                <w:b/>
                <w:bCs/>
              </w:rPr>
            </w:pPr>
            <w:r>
              <w:rPr>
                <w:rFonts w:ascii="Arial" w:hAnsi="Arial" w:cs="Arial"/>
                <w:b/>
                <w:bCs/>
              </w:rPr>
              <w:t>0.50</w:t>
            </w:r>
          </w:p>
        </w:tc>
        <w:tc>
          <w:tcPr>
            <w:tcW w:w="6372" w:type="dxa"/>
          </w:tcPr>
          <w:p w14:paraId="5C133BFF" w14:textId="18D97DF2" w:rsidR="00943BC9" w:rsidRDefault="00943BC9" w:rsidP="00040642">
            <w:pPr>
              <w:rPr>
                <w:rFonts w:ascii="Arial" w:hAnsi="Arial" w:cs="Arial"/>
              </w:rPr>
            </w:pPr>
            <w:r>
              <w:rPr>
                <w:rFonts w:ascii="Arial" w:hAnsi="Arial" w:cs="Arial"/>
              </w:rPr>
              <w:t xml:space="preserve">He first acted in the Greek Play when he was a student at Cambridge. He played the Farmer in Euripides’ </w:t>
            </w:r>
            <w:r w:rsidRPr="00987BB1">
              <w:rPr>
                <w:rFonts w:ascii="Arial" w:hAnsi="Arial" w:cs="Arial"/>
                <w:i/>
                <w:iCs/>
              </w:rPr>
              <w:t>Electra</w:t>
            </w:r>
            <w:r>
              <w:rPr>
                <w:rFonts w:ascii="Arial" w:hAnsi="Arial" w:cs="Arial"/>
              </w:rPr>
              <w:t>. He later became the Secretary of the Committee and is now the Executive Director.</w:t>
            </w:r>
          </w:p>
        </w:tc>
      </w:tr>
      <w:tr w:rsidR="00943BC9" w:rsidRPr="00594994" w14:paraId="4D138AD8" w14:textId="77777777" w:rsidTr="00040642">
        <w:tc>
          <w:tcPr>
            <w:tcW w:w="2644" w:type="dxa"/>
          </w:tcPr>
          <w:p w14:paraId="4DC06317" w14:textId="300C729B" w:rsidR="00943BC9" w:rsidRDefault="00943BC9" w:rsidP="00040642">
            <w:pPr>
              <w:rPr>
                <w:rFonts w:ascii="Arial" w:hAnsi="Arial" w:cs="Arial"/>
                <w:b/>
                <w:bCs/>
              </w:rPr>
            </w:pPr>
            <w:r>
              <w:rPr>
                <w:rFonts w:ascii="Arial" w:hAnsi="Arial" w:cs="Arial"/>
                <w:b/>
                <w:bCs/>
              </w:rPr>
              <w:t>1.40</w:t>
            </w:r>
          </w:p>
        </w:tc>
        <w:tc>
          <w:tcPr>
            <w:tcW w:w="6372" w:type="dxa"/>
          </w:tcPr>
          <w:p w14:paraId="68A640DF" w14:textId="1D459FD2" w:rsidR="00943BC9" w:rsidRDefault="00943BC9" w:rsidP="00040642">
            <w:pPr>
              <w:rPr>
                <w:rFonts w:ascii="Arial" w:hAnsi="Arial" w:cs="Arial"/>
              </w:rPr>
            </w:pPr>
            <w:r>
              <w:rPr>
                <w:rFonts w:ascii="Arial" w:hAnsi="Arial" w:cs="Arial"/>
              </w:rPr>
              <w:t>He explains the history of the Greek Play. It is the longest running student drama production in the country. It started in the last quarter of the 19</w:t>
            </w:r>
            <w:r w:rsidRPr="00943BC9">
              <w:rPr>
                <w:rFonts w:ascii="Arial" w:hAnsi="Arial" w:cs="Arial"/>
                <w:vertAlign w:val="superscript"/>
              </w:rPr>
              <w:t>th</w:t>
            </w:r>
            <w:r>
              <w:rPr>
                <w:rFonts w:ascii="Arial" w:hAnsi="Arial" w:cs="Arial"/>
              </w:rPr>
              <w:t xml:space="preserve"> century with the first ever full-scale</w:t>
            </w:r>
            <w:r w:rsidR="000165CF">
              <w:rPr>
                <w:rFonts w:ascii="Arial" w:hAnsi="Arial" w:cs="Arial"/>
              </w:rPr>
              <w:t xml:space="preserve"> production of a play in Ancient Greek. It was surprisingly successful. There were extra trains laid on from London to Cambridge to allow ‘the aristocratic audiences’ to see it. He says that it is still a transformative event for many people. </w:t>
            </w:r>
          </w:p>
        </w:tc>
      </w:tr>
      <w:tr w:rsidR="000165CF" w:rsidRPr="00594994" w14:paraId="06DA65D2" w14:textId="77777777" w:rsidTr="00040642">
        <w:tc>
          <w:tcPr>
            <w:tcW w:w="2644" w:type="dxa"/>
          </w:tcPr>
          <w:p w14:paraId="7C2E751A" w14:textId="111EE77A" w:rsidR="000165CF" w:rsidRDefault="000165CF" w:rsidP="00040642">
            <w:pPr>
              <w:rPr>
                <w:rFonts w:ascii="Arial" w:hAnsi="Arial" w:cs="Arial"/>
                <w:b/>
                <w:bCs/>
              </w:rPr>
            </w:pPr>
            <w:r>
              <w:rPr>
                <w:rFonts w:ascii="Arial" w:hAnsi="Arial" w:cs="Arial"/>
                <w:b/>
                <w:bCs/>
              </w:rPr>
              <w:t>3.10</w:t>
            </w:r>
          </w:p>
        </w:tc>
        <w:tc>
          <w:tcPr>
            <w:tcW w:w="6372" w:type="dxa"/>
          </w:tcPr>
          <w:p w14:paraId="1D4F50C5" w14:textId="78AD30F3" w:rsidR="000165CF" w:rsidRDefault="00AD4A67" w:rsidP="00040642">
            <w:pPr>
              <w:rPr>
                <w:rFonts w:ascii="Arial" w:hAnsi="Arial" w:cs="Arial"/>
              </w:rPr>
            </w:pPr>
            <w:r>
              <w:rPr>
                <w:rFonts w:ascii="Arial" w:hAnsi="Arial" w:cs="Arial"/>
              </w:rPr>
              <w:t>Goldhill</w:t>
            </w:r>
            <w:r w:rsidR="000165CF">
              <w:rPr>
                <w:rFonts w:ascii="Arial" w:hAnsi="Arial" w:cs="Arial"/>
              </w:rPr>
              <w:t xml:space="preserve"> lays out the production process. The show runs for a week and</w:t>
            </w:r>
            <w:r w:rsidR="00FE5CBB">
              <w:rPr>
                <w:rFonts w:ascii="Arial" w:hAnsi="Arial" w:cs="Arial"/>
              </w:rPr>
              <w:t xml:space="preserve">, in the years since </w:t>
            </w:r>
            <w:r>
              <w:rPr>
                <w:rFonts w:ascii="Arial" w:hAnsi="Arial" w:cs="Arial"/>
              </w:rPr>
              <w:t>Goldhill</w:t>
            </w:r>
            <w:r w:rsidR="00FE5CBB">
              <w:rPr>
                <w:rFonts w:ascii="Arial" w:hAnsi="Arial" w:cs="Arial"/>
              </w:rPr>
              <w:t xml:space="preserve"> has been involved, it is always</w:t>
            </w:r>
            <w:r w:rsidR="000165CF">
              <w:rPr>
                <w:rFonts w:ascii="Arial" w:hAnsi="Arial" w:cs="Arial"/>
              </w:rPr>
              <w:t xml:space="preserve"> sold </w:t>
            </w:r>
            <w:r w:rsidR="00FE5CBB">
              <w:rPr>
                <w:rFonts w:ascii="Arial" w:hAnsi="Arial" w:cs="Arial"/>
              </w:rPr>
              <w:t xml:space="preserve">out. People from all round the country come. It happens every three years and has a budget of </w:t>
            </w:r>
            <w:r w:rsidR="009C0794">
              <w:rPr>
                <w:rFonts w:ascii="Arial" w:hAnsi="Arial" w:cs="Arial"/>
              </w:rPr>
              <w:t xml:space="preserve">over </w:t>
            </w:r>
            <w:r w:rsidR="00FE5CBB">
              <w:rPr>
                <w:rFonts w:ascii="Arial" w:hAnsi="Arial" w:cs="Arial"/>
              </w:rPr>
              <w:t xml:space="preserve">50,000 pounds – unusually high for a student production. </w:t>
            </w:r>
            <w:r w:rsidR="009C0794">
              <w:rPr>
                <w:rFonts w:ascii="Arial" w:hAnsi="Arial" w:cs="Arial"/>
              </w:rPr>
              <w:t xml:space="preserve">The first task is appointing a director. All the productions </w:t>
            </w:r>
            <w:r>
              <w:rPr>
                <w:rFonts w:ascii="Arial" w:hAnsi="Arial" w:cs="Arial"/>
              </w:rPr>
              <w:t>Goldhill</w:t>
            </w:r>
            <w:r>
              <w:rPr>
                <w:rFonts w:ascii="Arial" w:hAnsi="Arial" w:cs="Arial"/>
              </w:rPr>
              <w:t xml:space="preserve"> </w:t>
            </w:r>
            <w:r w:rsidR="009C0794">
              <w:rPr>
                <w:rFonts w:ascii="Arial" w:hAnsi="Arial" w:cs="Arial"/>
              </w:rPr>
              <w:t>has been involved in have had professional directors and – of course – a professional theatre. Many of the actors go on to be professionals. Then the play is decided on. In recent years, they have done double bills of a tragedy and comedy, which is how plays would have been shown at the Ancient Greek festivals. Next, they select the actors – often a year in advance of the performance. The cast comprises students</w:t>
            </w:r>
            <w:r w:rsidR="003D3BD4">
              <w:rPr>
                <w:rFonts w:ascii="Arial" w:hAnsi="Arial" w:cs="Arial"/>
              </w:rPr>
              <w:t>. In recent years, some young professional actors who want the experience have also been involved. Then follows a long period of training in movement, speech and Ancient Greek. There has occasionally been some impressive ad lib-</w:t>
            </w:r>
            <w:proofErr w:type="spellStart"/>
            <w:r w:rsidR="003D3BD4">
              <w:rPr>
                <w:rFonts w:ascii="Arial" w:hAnsi="Arial" w:cs="Arial"/>
              </w:rPr>
              <w:t>ing</w:t>
            </w:r>
            <w:proofErr w:type="spellEnd"/>
            <w:r w:rsidR="003D3BD4">
              <w:rPr>
                <w:rFonts w:ascii="Arial" w:hAnsi="Arial" w:cs="Arial"/>
              </w:rPr>
              <w:t xml:space="preserve">. Then an intense period of rehearsals over the Summer, ready to perform in October. </w:t>
            </w:r>
          </w:p>
        </w:tc>
      </w:tr>
      <w:tr w:rsidR="005314E7" w:rsidRPr="00594994" w14:paraId="79DECCA0" w14:textId="77777777" w:rsidTr="00040642">
        <w:tc>
          <w:tcPr>
            <w:tcW w:w="2644" w:type="dxa"/>
          </w:tcPr>
          <w:p w14:paraId="632A15F6" w14:textId="2E1C29AB" w:rsidR="005314E7" w:rsidRDefault="005314E7" w:rsidP="00040642">
            <w:pPr>
              <w:rPr>
                <w:rFonts w:ascii="Arial" w:hAnsi="Arial" w:cs="Arial"/>
                <w:b/>
                <w:bCs/>
              </w:rPr>
            </w:pPr>
            <w:r>
              <w:rPr>
                <w:rFonts w:ascii="Arial" w:hAnsi="Arial" w:cs="Arial"/>
                <w:b/>
                <w:bCs/>
              </w:rPr>
              <w:t>10.20</w:t>
            </w:r>
          </w:p>
        </w:tc>
        <w:tc>
          <w:tcPr>
            <w:tcW w:w="6372" w:type="dxa"/>
          </w:tcPr>
          <w:p w14:paraId="60997307" w14:textId="3B3FB4C7" w:rsidR="005314E7" w:rsidRDefault="005314E7" w:rsidP="00F60445">
            <w:pPr>
              <w:jc w:val="both"/>
              <w:rPr>
                <w:rFonts w:ascii="Arial" w:hAnsi="Arial" w:cs="Arial"/>
              </w:rPr>
            </w:pPr>
            <w:r>
              <w:rPr>
                <w:rFonts w:ascii="Arial" w:hAnsi="Arial" w:cs="Arial"/>
              </w:rPr>
              <w:t xml:space="preserve">It was </w:t>
            </w:r>
            <w:r w:rsidR="00AD4A67">
              <w:rPr>
                <w:rFonts w:ascii="Arial" w:hAnsi="Arial" w:cs="Arial"/>
              </w:rPr>
              <w:t>Goldhill</w:t>
            </w:r>
            <w:r>
              <w:rPr>
                <w:rFonts w:ascii="Arial" w:hAnsi="Arial" w:cs="Arial"/>
              </w:rPr>
              <w:t xml:space="preserve">’s initiative to introduce </w:t>
            </w:r>
            <w:r w:rsidR="003C790F">
              <w:rPr>
                <w:rFonts w:ascii="Arial" w:hAnsi="Arial" w:cs="Arial"/>
              </w:rPr>
              <w:t>surtitles. This</w:t>
            </w:r>
            <w:r>
              <w:rPr>
                <w:rFonts w:ascii="Arial" w:hAnsi="Arial" w:cs="Arial"/>
              </w:rPr>
              <w:t xml:space="preserve"> was slightly controversial. The Cambridge Classics Faculty produce a translation each time. </w:t>
            </w:r>
          </w:p>
        </w:tc>
      </w:tr>
      <w:tr w:rsidR="005314E7" w:rsidRPr="00594994" w14:paraId="1CEE0C9B" w14:textId="77777777" w:rsidTr="00040642">
        <w:tc>
          <w:tcPr>
            <w:tcW w:w="2644" w:type="dxa"/>
          </w:tcPr>
          <w:p w14:paraId="6FE9829C" w14:textId="50AE833D" w:rsidR="005314E7" w:rsidRDefault="005314E7" w:rsidP="00040642">
            <w:pPr>
              <w:rPr>
                <w:rFonts w:ascii="Arial" w:hAnsi="Arial" w:cs="Arial"/>
                <w:b/>
                <w:bCs/>
              </w:rPr>
            </w:pPr>
            <w:r>
              <w:rPr>
                <w:rFonts w:ascii="Arial" w:hAnsi="Arial" w:cs="Arial"/>
                <w:b/>
                <w:bCs/>
              </w:rPr>
              <w:t>12.00</w:t>
            </w:r>
          </w:p>
        </w:tc>
        <w:tc>
          <w:tcPr>
            <w:tcW w:w="6372" w:type="dxa"/>
          </w:tcPr>
          <w:p w14:paraId="6C448D4F" w14:textId="35D7EA4E" w:rsidR="005314E7" w:rsidRDefault="005314E7" w:rsidP="00040642">
            <w:pPr>
              <w:rPr>
                <w:rFonts w:ascii="Arial" w:hAnsi="Arial" w:cs="Arial"/>
              </w:rPr>
            </w:pPr>
            <w:r>
              <w:rPr>
                <w:rFonts w:ascii="Arial" w:hAnsi="Arial" w:cs="Arial"/>
              </w:rPr>
              <w:t xml:space="preserve">He says that the two most important things are that the audience get to hear a play in Ancient Greek and that </w:t>
            </w:r>
            <w:r w:rsidR="00F60445">
              <w:rPr>
                <w:rFonts w:ascii="Arial" w:hAnsi="Arial" w:cs="Arial"/>
              </w:rPr>
              <w:t xml:space="preserve">the students get to perform a play in Ancient Greek. </w:t>
            </w:r>
          </w:p>
        </w:tc>
      </w:tr>
      <w:tr w:rsidR="005314E7" w:rsidRPr="00594994" w14:paraId="610A7D20" w14:textId="77777777" w:rsidTr="00040642">
        <w:tc>
          <w:tcPr>
            <w:tcW w:w="2644" w:type="dxa"/>
          </w:tcPr>
          <w:p w14:paraId="2FCDA43B" w14:textId="306F287B" w:rsidR="005314E7" w:rsidRDefault="00F60445" w:rsidP="00040642">
            <w:pPr>
              <w:rPr>
                <w:rFonts w:ascii="Arial" w:hAnsi="Arial" w:cs="Arial"/>
                <w:b/>
                <w:bCs/>
              </w:rPr>
            </w:pPr>
            <w:r>
              <w:rPr>
                <w:rFonts w:ascii="Arial" w:hAnsi="Arial" w:cs="Arial"/>
                <w:b/>
                <w:bCs/>
              </w:rPr>
              <w:t>12.45</w:t>
            </w:r>
          </w:p>
        </w:tc>
        <w:tc>
          <w:tcPr>
            <w:tcW w:w="6372" w:type="dxa"/>
          </w:tcPr>
          <w:p w14:paraId="7F2246FE" w14:textId="1B507289" w:rsidR="005314E7" w:rsidRDefault="00F60445" w:rsidP="003C790F">
            <w:pPr>
              <w:rPr>
                <w:rFonts w:ascii="Arial" w:hAnsi="Arial" w:cs="Arial"/>
              </w:rPr>
            </w:pPr>
            <w:r>
              <w:rPr>
                <w:rFonts w:ascii="Arial" w:hAnsi="Arial" w:cs="Arial"/>
              </w:rPr>
              <w:t>The play is unique at Cambridge University. It has the highest production value. When Simon was a student here, it had more of a ‘school-play’ feel. It is now of professional standard – the directors are professionals and students know what is expected of them. It has produced the most professional actors</w:t>
            </w:r>
            <w:r w:rsidR="003C790F">
              <w:rPr>
                <w:rFonts w:ascii="Arial" w:hAnsi="Arial" w:cs="Arial"/>
              </w:rPr>
              <w:t xml:space="preserve"> – comparable, perhaps, to the number of comedians Footlights has produced. </w:t>
            </w:r>
          </w:p>
        </w:tc>
      </w:tr>
      <w:tr w:rsidR="005314E7" w:rsidRPr="00594994" w14:paraId="4950C701" w14:textId="77777777" w:rsidTr="00040642">
        <w:tc>
          <w:tcPr>
            <w:tcW w:w="2644" w:type="dxa"/>
          </w:tcPr>
          <w:p w14:paraId="17A7CA3A" w14:textId="3F90988F" w:rsidR="005314E7" w:rsidRDefault="003C790F" w:rsidP="00040642">
            <w:pPr>
              <w:rPr>
                <w:rFonts w:ascii="Arial" w:hAnsi="Arial" w:cs="Arial"/>
                <w:b/>
                <w:bCs/>
              </w:rPr>
            </w:pPr>
            <w:r>
              <w:rPr>
                <w:rFonts w:ascii="Arial" w:hAnsi="Arial" w:cs="Arial"/>
                <w:b/>
                <w:bCs/>
              </w:rPr>
              <w:lastRenderedPageBreak/>
              <w:t>15.05</w:t>
            </w:r>
          </w:p>
        </w:tc>
        <w:tc>
          <w:tcPr>
            <w:tcW w:w="6372" w:type="dxa"/>
          </w:tcPr>
          <w:p w14:paraId="1B05D1DD" w14:textId="5DB7F92B" w:rsidR="005314E7" w:rsidRDefault="003C790F" w:rsidP="00040642">
            <w:pPr>
              <w:rPr>
                <w:rFonts w:ascii="Arial" w:hAnsi="Arial" w:cs="Arial"/>
              </w:rPr>
            </w:pPr>
            <w:r>
              <w:rPr>
                <w:rFonts w:ascii="Arial" w:hAnsi="Arial" w:cs="Arial"/>
              </w:rPr>
              <w:t xml:space="preserve">The play has been at the Arts since </w:t>
            </w:r>
            <w:r w:rsidR="00DF4BC6">
              <w:rPr>
                <w:rFonts w:ascii="Arial" w:hAnsi="Arial" w:cs="Arial"/>
              </w:rPr>
              <w:t>it</w:t>
            </w:r>
            <w:r>
              <w:rPr>
                <w:rFonts w:ascii="Arial" w:hAnsi="Arial" w:cs="Arial"/>
              </w:rPr>
              <w:t xml:space="preserve"> opened in 1936 (except for a brief period when the </w:t>
            </w:r>
            <w:r w:rsidR="00DF4BC6">
              <w:rPr>
                <w:rFonts w:ascii="Arial" w:hAnsi="Arial" w:cs="Arial"/>
              </w:rPr>
              <w:t>T</w:t>
            </w:r>
            <w:r>
              <w:rPr>
                <w:rFonts w:ascii="Arial" w:hAnsi="Arial" w:cs="Arial"/>
              </w:rPr>
              <w:t xml:space="preserve">heatre went dark and it moved to the Corn Exchange). Before that, it didn’t have home. It moved round many venues. </w:t>
            </w:r>
          </w:p>
        </w:tc>
      </w:tr>
      <w:tr w:rsidR="003C790F" w:rsidRPr="00594994" w14:paraId="6082A3C2" w14:textId="77777777" w:rsidTr="00040642">
        <w:tc>
          <w:tcPr>
            <w:tcW w:w="2644" w:type="dxa"/>
          </w:tcPr>
          <w:p w14:paraId="4254BB54" w14:textId="3F897297" w:rsidR="003C790F" w:rsidRDefault="00844755" w:rsidP="00040642">
            <w:pPr>
              <w:rPr>
                <w:rFonts w:ascii="Arial" w:hAnsi="Arial" w:cs="Arial"/>
                <w:b/>
                <w:bCs/>
              </w:rPr>
            </w:pPr>
            <w:r>
              <w:rPr>
                <w:rFonts w:ascii="Arial" w:hAnsi="Arial" w:cs="Arial"/>
                <w:b/>
                <w:bCs/>
              </w:rPr>
              <w:t>16.30</w:t>
            </w:r>
          </w:p>
        </w:tc>
        <w:tc>
          <w:tcPr>
            <w:tcW w:w="6372" w:type="dxa"/>
          </w:tcPr>
          <w:p w14:paraId="47A35863" w14:textId="7DC0DE14" w:rsidR="003C790F" w:rsidRDefault="00844755" w:rsidP="00040642">
            <w:pPr>
              <w:rPr>
                <w:rFonts w:ascii="Arial" w:hAnsi="Arial" w:cs="Arial"/>
              </w:rPr>
            </w:pPr>
            <w:r>
              <w:rPr>
                <w:rFonts w:ascii="Arial" w:hAnsi="Arial" w:cs="Arial"/>
              </w:rPr>
              <w:t xml:space="preserve">The play </w:t>
            </w:r>
            <w:r w:rsidR="00DF4BC6">
              <w:rPr>
                <w:rFonts w:ascii="Arial" w:hAnsi="Arial" w:cs="Arial"/>
              </w:rPr>
              <w:t>must</w:t>
            </w:r>
            <w:r>
              <w:rPr>
                <w:rFonts w:ascii="Arial" w:hAnsi="Arial" w:cs="Arial"/>
              </w:rPr>
              <w:t xml:space="preserve"> speak to a modern audience. There are two audiences in mind: schools and the general theatre-going public. </w:t>
            </w:r>
          </w:p>
        </w:tc>
      </w:tr>
      <w:tr w:rsidR="003C790F" w:rsidRPr="00594994" w14:paraId="5B03E3F5" w14:textId="77777777" w:rsidTr="00040642">
        <w:tc>
          <w:tcPr>
            <w:tcW w:w="2644" w:type="dxa"/>
          </w:tcPr>
          <w:p w14:paraId="3B2B5C6B" w14:textId="21CB7A54" w:rsidR="003C790F" w:rsidRDefault="00844755" w:rsidP="00040642">
            <w:pPr>
              <w:rPr>
                <w:rFonts w:ascii="Arial" w:hAnsi="Arial" w:cs="Arial"/>
                <w:b/>
                <w:bCs/>
              </w:rPr>
            </w:pPr>
            <w:r>
              <w:rPr>
                <w:rFonts w:ascii="Arial" w:hAnsi="Arial" w:cs="Arial"/>
                <w:b/>
                <w:bCs/>
              </w:rPr>
              <w:t>18.15</w:t>
            </w:r>
          </w:p>
        </w:tc>
        <w:tc>
          <w:tcPr>
            <w:tcW w:w="6372" w:type="dxa"/>
          </w:tcPr>
          <w:p w14:paraId="09855469" w14:textId="40982EE2" w:rsidR="00B110DE" w:rsidRDefault="00844755" w:rsidP="00B110DE">
            <w:pPr>
              <w:rPr>
                <w:rFonts w:ascii="Arial" w:hAnsi="Arial" w:cs="Arial"/>
              </w:rPr>
            </w:pPr>
            <w:r>
              <w:rPr>
                <w:rFonts w:ascii="Arial" w:hAnsi="Arial" w:cs="Arial"/>
              </w:rPr>
              <w:t xml:space="preserve">The student cast invariably have some theatre experience and aspire to be some sort of professional. Simon knows former cast-members who are now in their forties and still remember their whole part. </w:t>
            </w:r>
            <w:r w:rsidR="00DF4BC6">
              <w:rPr>
                <w:rFonts w:ascii="Arial" w:hAnsi="Arial" w:cs="Arial"/>
              </w:rPr>
              <w:t>N</w:t>
            </w:r>
            <w:r w:rsidR="00B110DE">
              <w:rPr>
                <w:rFonts w:ascii="Arial" w:hAnsi="Arial" w:cs="Arial"/>
              </w:rPr>
              <w:t>o previous knowledge of Greek required. It used to be that only Greek students would perform but a lot of them ‘couldn’t act for toffee’; now, the cast is formed from the best actors.</w:t>
            </w:r>
          </w:p>
        </w:tc>
      </w:tr>
      <w:tr w:rsidR="00B110DE" w:rsidRPr="00594994" w14:paraId="4273C330" w14:textId="77777777" w:rsidTr="00040642">
        <w:tc>
          <w:tcPr>
            <w:tcW w:w="2644" w:type="dxa"/>
          </w:tcPr>
          <w:p w14:paraId="751D6D28" w14:textId="03700494" w:rsidR="00B110DE" w:rsidRDefault="00812F52" w:rsidP="00040642">
            <w:pPr>
              <w:rPr>
                <w:rFonts w:ascii="Arial" w:hAnsi="Arial" w:cs="Arial"/>
                <w:b/>
                <w:bCs/>
              </w:rPr>
            </w:pPr>
            <w:r>
              <w:rPr>
                <w:rFonts w:ascii="Arial" w:hAnsi="Arial" w:cs="Arial"/>
                <w:b/>
                <w:bCs/>
              </w:rPr>
              <w:t>21.30</w:t>
            </w:r>
          </w:p>
        </w:tc>
        <w:tc>
          <w:tcPr>
            <w:tcW w:w="6372" w:type="dxa"/>
          </w:tcPr>
          <w:p w14:paraId="04F191D1" w14:textId="3859DFC0" w:rsidR="00B110DE" w:rsidRDefault="00812F52" w:rsidP="00B110DE">
            <w:pPr>
              <w:rPr>
                <w:rFonts w:ascii="Arial" w:hAnsi="Arial" w:cs="Arial"/>
              </w:rPr>
            </w:pPr>
            <w:r>
              <w:rPr>
                <w:rFonts w:ascii="Arial" w:hAnsi="Arial" w:cs="Arial"/>
              </w:rPr>
              <w:t xml:space="preserve">Simon is currently responsible for fundraising. The greatest cost comes from hiring a director for a year or more and renting accommodation for the cast during holidays rehearsal periods. Support comes from colleges, individuals and trust funds. </w:t>
            </w:r>
          </w:p>
        </w:tc>
      </w:tr>
      <w:tr w:rsidR="00B110DE" w:rsidRPr="00594994" w14:paraId="027D4955" w14:textId="77777777" w:rsidTr="00040642">
        <w:tc>
          <w:tcPr>
            <w:tcW w:w="2644" w:type="dxa"/>
          </w:tcPr>
          <w:p w14:paraId="4398E61B" w14:textId="34629759" w:rsidR="00B110DE" w:rsidRDefault="00812F52" w:rsidP="00040642">
            <w:pPr>
              <w:rPr>
                <w:rFonts w:ascii="Arial" w:hAnsi="Arial" w:cs="Arial"/>
                <w:b/>
                <w:bCs/>
              </w:rPr>
            </w:pPr>
            <w:r>
              <w:rPr>
                <w:rFonts w:ascii="Arial" w:hAnsi="Arial" w:cs="Arial"/>
                <w:b/>
                <w:bCs/>
              </w:rPr>
              <w:t>24.15</w:t>
            </w:r>
          </w:p>
        </w:tc>
        <w:tc>
          <w:tcPr>
            <w:tcW w:w="6372" w:type="dxa"/>
          </w:tcPr>
          <w:p w14:paraId="5BC07CB6" w14:textId="5F42D1EC" w:rsidR="00B110DE" w:rsidRDefault="00812F52" w:rsidP="00B110DE">
            <w:pPr>
              <w:rPr>
                <w:rFonts w:ascii="Arial" w:hAnsi="Arial" w:cs="Arial"/>
              </w:rPr>
            </w:pPr>
            <w:r>
              <w:rPr>
                <w:rFonts w:ascii="Arial" w:hAnsi="Arial" w:cs="Arial"/>
              </w:rPr>
              <w:t xml:space="preserve">The process for the 2022 production has been ‘absolutely awful’ during </w:t>
            </w:r>
            <w:r w:rsidR="00174D8B">
              <w:rPr>
                <w:rFonts w:ascii="Arial" w:hAnsi="Arial" w:cs="Arial"/>
              </w:rPr>
              <w:t>COVID</w:t>
            </w:r>
            <w:r>
              <w:rPr>
                <w:rFonts w:ascii="Arial" w:hAnsi="Arial" w:cs="Arial"/>
              </w:rPr>
              <w:t>. What worries Simon most is not the standard of the play but whether there will be a good audience.</w:t>
            </w:r>
          </w:p>
        </w:tc>
      </w:tr>
      <w:tr w:rsidR="00B110DE" w:rsidRPr="00594994" w14:paraId="481302BB" w14:textId="77777777" w:rsidTr="00040642">
        <w:tc>
          <w:tcPr>
            <w:tcW w:w="2644" w:type="dxa"/>
          </w:tcPr>
          <w:p w14:paraId="70C065DF" w14:textId="696304DA" w:rsidR="00B110DE" w:rsidRDefault="006C467B" w:rsidP="00040642">
            <w:pPr>
              <w:rPr>
                <w:rFonts w:ascii="Arial" w:hAnsi="Arial" w:cs="Arial"/>
                <w:b/>
                <w:bCs/>
              </w:rPr>
            </w:pPr>
            <w:r>
              <w:rPr>
                <w:rFonts w:ascii="Arial" w:hAnsi="Arial" w:cs="Arial"/>
                <w:b/>
                <w:bCs/>
              </w:rPr>
              <w:t>26.15</w:t>
            </w:r>
          </w:p>
        </w:tc>
        <w:tc>
          <w:tcPr>
            <w:tcW w:w="6372" w:type="dxa"/>
          </w:tcPr>
          <w:p w14:paraId="201105AA" w14:textId="192DE2A5" w:rsidR="00B110DE" w:rsidRDefault="006C467B" w:rsidP="00B110DE">
            <w:pPr>
              <w:rPr>
                <w:rFonts w:ascii="Arial" w:hAnsi="Arial" w:cs="Arial"/>
              </w:rPr>
            </w:pPr>
            <w:r>
              <w:rPr>
                <w:rFonts w:ascii="Arial" w:hAnsi="Arial" w:cs="Arial"/>
              </w:rPr>
              <w:t xml:space="preserve">Simon has been involved in theatre since his school days. His academic interest is Greek </w:t>
            </w:r>
            <w:r w:rsidR="00B9474C">
              <w:rPr>
                <w:rFonts w:ascii="Arial" w:hAnsi="Arial" w:cs="Arial"/>
              </w:rPr>
              <w:t>tragedy,</w:t>
            </w:r>
            <w:r>
              <w:rPr>
                <w:rFonts w:ascii="Arial" w:hAnsi="Arial" w:cs="Arial"/>
              </w:rPr>
              <w:t xml:space="preserve"> so he has continued to work in and around theatre. </w:t>
            </w:r>
          </w:p>
        </w:tc>
      </w:tr>
      <w:tr w:rsidR="00B110DE" w:rsidRPr="00594994" w14:paraId="7963802C" w14:textId="77777777" w:rsidTr="00040642">
        <w:tc>
          <w:tcPr>
            <w:tcW w:w="2644" w:type="dxa"/>
          </w:tcPr>
          <w:p w14:paraId="36498543" w14:textId="5D1AA0F0" w:rsidR="00B110DE" w:rsidRDefault="006C467B" w:rsidP="00040642">
            <w:pPr>
              <w:rPr>
                <w:rFonts w:ascii="Arial" w:hAnsi="Arial" w:cs="Arial"/>
                <w:b/>
                <w:bCs/>
              </w:rPr>
            </w:pPr>
            <w:r>
              <w:rPr>
                <w:rFonts w:ascii="Arial" w:hAnsi="Arial" w:cs="Arial"/>
                <w:b/>
                <w:bCs/>
              </w:rPr>
              <w:t>27.00</w:t>
            </w:r>
          </w:p>
        </w:tc>
        <w:tc>
          <w:tcPr>
            <w:tcW w:w="6372" w:type="dxa"/>
          </w:tcPr>
          <w:p w14:paraId="3D8A3016" w14:textId="47FB4AD4" w:rsidR="00B110DE" w:rsidRDefault="006C467B" w:rsidP="00B110DE">
            <w:pPr>
              <w:rPr>
                <w:rFonts w:ascii="Arial" w:hAnsi="Arial" w:cs="Arial"/>
              </w:rPr>
            </w:pPr>
            <w:r>
              <w:rPr>
                <w:rFonts w:ascii="Arial" w:hAnsi="Arial" w:cs="Arial"/>
              </w:rPr>
              <w:t xml:space="preserve">There is a tradition </w:t>
            </w:r>
            <w:r w:rsidR="00DC2790">
              <w:rPr>
                <w:rFonts w:ascii="Arial" w:hAnsi="Arial" w:cs="Arial"/>
              </w:rPr>
              <w:t>in the Greek Play Committee that the producer is given a silver denarius dating from the 5</w:t>
            </w:r>
            <w:r w:rsidR="00DC2790" w:rsidRPr="00DC2790">
              <w:rPr>
                <w:rFonts w:ascii="Arial" w:hAnsi="Arial" w:cs="Arial"/>
                <w:vertAlign w:val="superscript"/>
              </w:rPr>
              <w:t>th</w:t>
            </w:r>
            <w:r w:rsidR="00DC2790">
              <w:rPr>
                <w:rFonts w:ascii="Arial" w:hAnsi="Arial" w:cs="Arial"/>
              </w:rPr>
              <w:t xml:space="preserve"> century. There are no rules regarding tenure for the producer.</w:t>
            </w:r>
          </w:p>
        </w:tc>
      </w:tr>
      <w:tr w:rsidR="00B110DE" w:rsidRPr="00594994" w14:paraId="1694CA76" w14:textId="77777777" w:rsidTr="00040642">
        <w:tc>
          <w:tcPr>
            <w:tcW w:w="2644" w:type="dxa"/>
          </w:tcPr>
          <w:p w14:paraId="6FD334D2" w14:textId="120D3E62" w:rsidR="00B110DE" w:rsidRDefault="00DC2790" w:rsidP="00040642">
            <w:pPr>
              <w:rPr>
                <w:rFonts w:ascii="Arial" w:hAnsi="Arial" w:cs="Arial"/>
                <w:b/>
                <w:bCs/>
              </w:rPr>
            </w:pPr>
            <w:r>
              <w:rPr>
                <w:rFonts w:ascii="Arial" w:hAnsi="Arial" w:cs="Arial"/>
                <w:b/>
                <w:bCs/>
              </w:rPr>
              <w:t>29.15</w:t>
            </w:r>
          </w:p>
        </w:tc>
        <w:tc>
          <w:tcPr>
            <w:tcW w:w="6372" w:type="dxa"/>
          </w:tcPr>
          <w:p w14:paraId="149E439E" w14:textId="2F2B0429" w:rsidR="00B110DE" w:rsidRPr="00B9474C" w:rsidRDefault="00B9474C" w:rsidP="00606EA5">
            <w:pPr>
              <w:rPr>
                <w:rFonts w:ascii="Arial" w:hAnsi="Arial" w:cs="Arial"/>
              </w:rPr>
            </w:pPr>
            <w:r>
              <w:rPr>
                <w:rFonts w:ascii="Arial" w:hAnsi="Arial" w:cs="Arial"/>
              </w:rPr>
              <w:t>Highlights</w:t>
            </w:r>
            <w:r w:rsidR="00DC2790">
              <w:rPr>
                <w:rFonts w:ascii="Arial" w:hAnsi="Arial" w:cs="Arial"/>
              </w:rPr>
              <w:t xml:space="preserve"> for Simon have been putting on Sophocles’ </w:t>
            </w:r>
            <w:r w:rsidR="00DC2790" w:rsidRPr="00174D8B">
              <w:rPr>
                <w:rFonts w:ascii="Arial" w:hAnsi="Arial" w:cs="Arial"/>
                <w:i/>
                <w:iCs/>
              </w:rPr>
              <w:t>Electra</w:t>
            </w:r>
            <w:r w:rsidR="00DC2790">
              <w:rPr>
                <w:rFonts w:ascii="Arial" w:hAnsi="Arial" w:cs="Arial"/>
              </w:rPr>
              <w:t xml:space="preserve">, a gender-swapped </w:t>
            </w:r>
            <w:r w:rsidR="00DC2790" w:rsidRPr="00174D8B">
              <w:rPr>
                <w:rFonts w:ascii="Arial" w:hAnsi="Arial" w:cs="Arial"/>
                <w:i/>
                <w:iCs/>
              </w:rPr>
              <w:t>Oedipus</w:t>
            </w:r>
            <w:r w:rsidR="00DC2790">
              <w:rPr>
                <w:rFonts w:ascii="Arial" w:hAnsi="Arial" w:cs="Arial"/>
              </w:rPr>
              <w:t xml:space="preserve"> </w:t>
            </w:r>
            <w:r w:rsidR="00606EA5">
              <w:rPr>
                <w:rFonts w:ascii="Arial" w:hAnsi="Arial" w:cs="Arial"/>
              </w:rPr>
              <w:t xml:space="preserve">and Aristophanes’ </w:t>
            </w:r>
            <w:r w:rsidR="00606EA5" w:rsidRPr="00174D8B">
              <w:rPr>
                <w:rFonts w:ascii="Arial" w:hAnsi="Arial" w:cs="Arial"/>
                <w:i/>
                <w:iCs/>
              </w:rPr>
              <w:t>The Frogs</w:t>
            </w:r>
            <w:r w:rsidR="00606EA5">
              <w:rPr>
                <w:rFonts w:ascii="Arial" w:hAnsi="Arial" w:cs="Arial"/>
              </w:rPr>
              <w:t xml:space="preserve">. Simon had once said to the director: ‘there are two things you can’t do – </w:t>
            </w:r>
            <w:r w:rsidR="00606EA5" w:rsidRPr="00174D8B">
              <w:rPr>
                <w:rFonts w:ascii="Arial" w:hAnsi="Arial" w:cs="Arial"/>
                <w:i/>
                <w:iCs/>
              </w:rPr>
              <w:t>Prometheus Bound</w:t>
            </w:r>
            <w:r w:rsidR="00606EA5">
              <w:rPr>
                <w:rFonts w:ascii="Arial" w:hAnsi="Arial" w:cs="Arial"/>
              </w:rPr>
              <w:t xml:space="preserve">, because nobody moves, and a comedy, because nobody </w:t>
            </w:r>
            <w:r>
              <w:rPr>
                <w:rFonts w:ascii="Arial" w:hAnsi="Arial" w:cs="Arial"/>
              </w:rPr>
              <w:t>laughs</w:t>
            </w:r>
            <w:r w:rsidR="00174D8B">
              <w:rPr>
                <w:rFonts w:ascii="Arial" w:hAnsi="Arial" w:cs="Arial"/>
              </w:rPr>
              <w:t>.’</w:t>
            </w:r>
            <w:r w:rsidR="00606EA5">
              <w:rPr>
                <w:rFonts w:ascii="Arial" w:hAnsi="Arial" w:cs="Arial"/>
              </w:rPr>
              <w:t xml:space="preserve"> The director went on to do exactly that – a double bill of </w:t>
            </w:r>
            <w:r w:rsidR="00606EA5" w:rsidRPr="00174D8B">
              <w:rPr>
                <w:rFonts w:ascii="Arial" w:hAnsi="Arial" w:cs="Arial"/>
                <w:i/>
                <w:iCs/>
              </w:rPr>
              <w:t>Prometheus Bound</w:t>
            </w:r>
            <w:r w:rsidR="00606EA5">
              <w:rPr>
                <w:rFonts w:ascii="Arial" w:hAnsi="Arial" w:cs="Arial"/>
              </w:rPr>
              <w:t xml:space="preserve"> and </w:t>
            </w:r>
            <w:r w:rsidR="00606EA5" w:rsidRPr="00174D8B">
              <w:rPr>
                <w:rFonts w:ascii="Arial" w:hAnsi="Arial" w:cs="Arial"/>
                <w:i/>
                <w:iCs/>
              </w:rPr>
              <w:t>The Frogs</w:t>
            </w:r>
            <w:r w:rsidR="00606EA5">
              <w:rPr>
                <w:rFonts w:ascii="Arial" w:hAnsi="Arial" w:cs="Arial"/>
              </w:rPr>
              <w:t>. It was a resounding success. The music was very well-</w:t>
            </w:r>
            <w:r>
              <w:rPr>
                <w:rFonts w:ascii="Arial" w:hAnsi="Arial" w:cs="Arial"/>
              </w:rPr>
              <w:t>conceived,</w:t>
            </w:r>
            <w:r w:rsidR="00606EA5">
              <w:rPr>
                <w:rFonts w:ascii="Arial" w:hAnsi="Arial" w:cs="Arial"/>
              </w:rPr>
              <w:t xml:space="preserve"> and Simon </w:t>
            </w:r>
            <w:r>
              <w:rPr>
                <w:rFonts w:ascii="Arial" w:hAnsi="Arial" w:cs="Arial"/>
              </w:rPr>
              <w:t xml:space="preserve">remembers </w:t>
            </w:r>
            <w:r w:rsidR="00606EA5">
              <w:rPr>
                <w:rFonts w:ascii="Arial" w:hAnsi="Arial" w:cs="Arial"/>
              </w:rPr>
              <w:t>hear</w:t>
            </w:r>
            <w:r>
              <w:rPr>
                <w:rFonts w:ascii="Arial" w:hAnsi="Arial" w:cs="Arial"/>
              </w:rPr>
              <w:t>ing</w:t>
            </w:r>
            <w:r w:rsidR="00606EA5">
              <w:rPr>
                <w:rFonts w:ascii="Arial" w:hAnsi="Arial" w:cs="Arial"/>
              </w:rPr>
              <w:t xml:space="preserve"> audience members singing it in the street after the show.</w:t>
            </w:r>
            <w:r w:rsidR="00606EA5">
              <w:rPr>
                <w:rFonts w:ascii="Arial" w:hAnsi="Arial" w:cs="Arial"/>
                <w:i/>
                <w:iCs/>
              </w:rPr>
              <w:t xml:space="preserve"> </w:t>
            </w:r>
            <w:r>
              <w:rPr>
                <w:rFonts w:ascii="Arial" w:hAnsi="Arial" w:cs="Arial"/>
              </w:rPr>
              <w:t>Simon also finds it amusing to the remember that</w:t>
            </w:r>
            <w:r w:rsidR="00BA218E">
              <w:rPr>
                <w:rFonts w:ascii="Arial" w:hAnsi="Arial" w:cs="Arial"/>
              </w:rPr>
              <w:t xml:space="preserve"> the director of</w:t>
            </w:r>
            <w:r>
              <w:rPr>
                <w:rFonts w:ascii="Arial" w:hAnsi="Arial" w:cs="Arial"/>
              </w:rPr>
              <w:t xml:space="preserve"> </w:t>
            </w:r>
            <w:r w:rsidRPr="003E5B62">
              <w:rPr>
                <w:rFonts w:ascii="Arial" w:hAnsi="Arial" w:cs="Arial"/>
                <w:i/>
                <w:iCs/>
              </w:rPr>
              <w:t>Oedipus at Colonus</w:t>
            </w:r>
            <w:r w:rsidRPr="003E5B62">
              <w:rPr>
                <w:rFonts w:ascii="Arial" w:hAnsi="Arial" w:cs="Arial"/>
              </w:rPr>
              <w:t xml:space="preserve"> (which was set in a hospital) </w:t>
            </w:r>
            <w:r w:rsidR="00BA218E" w:rsidRPr="003E5B62">
              <w:rPr>
                <w:rFonts w:ascii="Arial" w:hAnsi="Arial" w:cs="Arial"/>
              </w:rPr>
              <w:t>had</w:t>
            </w:r>
            <w:r w:rsidRPr="003E5B62">
              <w:rPr>
                <w:rFonts w:ascii="Arial" w:hAnsi="Arial" w:cs="Arial"/>
              </w:rPr>
              <w:t xml:space="preserve"> wanted to give </w:t>
            </w:r>
            <w:r w:rsidR="00BA218E" w:rsidRPr="003E5B62">
              <w:rPr>
                <w:rFonts w:ascii="Arial" w:hAnsi="Arial" w:cs="Arial"/>
              </w:rPr>
              <w:t xml:space="preserve">out </w:t>
            </w:r>
            <w:r w:rsidRPr="003E5B62">
              <w:rPr>
                <w:rFonts w:ascii="Arial" w:hAnsi="Arial" w:cs="Arial"/>
              </w:rPr>
              <w:t xml:space="preserve">hand sanitiser to audience members entering the theatre </w:t>
            </w:r>
            <w:r w:rsidR="002F0195" w:rsidRPr="003E5B62">
              <w:rPr>
                <w:rFonts w:ascii="Arial" w:hAnsi="Arial" w:cs="Arial"/>
              </w:rPr>
              <w:t>to</w:t>
            </w:r>
            <w:r w:rsidRPr="003E5B62">
              <w:rPr>
                <w:rFonts w:ascii="Arial" w:hAnsi="Arial" w:cs="Arial"/>
              </w:rPr>
              <w:t xml:space="preserve"> add to the atmosphere but was not allowed to because the theatre manager said, ‘no one will </w:t>
            </w:r>
            <w:r w:rsidR="00BA218E" w:rsidRPr="003E5B62">
              <w:rPr>
                <w:rFonts w:ascii="Arial" w:hAnsi="Arial" w:cs="Arial"/>
              </w:rPr>
              <w:t>put up with having hand sanitiser at the door’</w:t>
            </w:r>
            <w:r w:rsidRPr="003E5B62">
              <w:rPr>
                <w:rFonts w:ascii="Arial" w:hAnsi="Arial" w:cs="Arial"/>
              </w:rPr>
              <w:t xml:space="preserve">. Now, during the pandemic, </w:t>
            </w:r>
            <w:r w:rsidR="00BA218E" w:rsidRPr="003E5B62">
              <w:rPr>
                <w:rFonts w:ascii="Arial" w:hAnsi="Arial" w:cs="Arial"/>
              </w:rPr>
              <w:t>you can’t enter a theatre without hand sanitising!</w:t>
            </w:r>
          </w:p>
        </w:tc>
      </w:tr>
      <w:tr w:rsidR="00B110DE" w:rsidRPr="00594994" w14:paraId="0A3EB74C" w14:textId="77777777" w:rsidTr="00040642">
        <w:tc>
          <w:tcPr>
            <w:tcW w:w="2644" w:type="dxa"/>
          </w:tcPr>
          <w:p w14:paraId="477B5D1B" w14:textId="265A7F83" w:rsidR="00B110DE" w:rsidRDefault="00BA218E" w:rsidP="00040642">
            <w:pPr>
              <w:rPr>
                <w:rFonts w:ascii="Arial" w:hAnsi="Arial" w:cs="Arial"/>
                <w:b/>
                <w:bCs/>
              </w:rPr>
            </w:pPr>
            <w:r>
              <w:rPr>
                <w:rFonts w:ascii="Arial" w:hAnsi="Arial" w:cs="Arial"/>
                <w:b/>
                <w:bCs/>
              </w:rPr>
              <w:t>34.10</w:t>
            </w:r>
          </w:p>
        </w:tc>
        <w:tc>
          <w:tcPr>
            <w:tcW w:w="6372" w:type="dxa"/>
          </w:tcPr>
          <w:p w14:paraId="62AFB850" w14:textId="26BF791B" w:rsidR="00B110DE" w:rsidRDefault="00BA218E" w:rsidP="00B110DE">
            <w:pPr>
              <w:rPr>
                <w:rFonts w:ascii="Arial" w:hAnsi="Arial" w:cs="Arial"/>
              </w:rPr>
            </w:pPr>
            <w:r>
              <w:rPr>
                <w:rFonts w:ascii="Arial" w:hAnsi="Arial" w:cs="Arial"/>
              </w:rPr>
              <w:t xml:space="preserve">Simon taught Tom Hiddleston. He didn’t think he was a particularly good or interesting actor! He was quite interesting as a student – but ‘another one of those Etonian </w:t>
            </w:r>
            <w:r w:rsidR="00A56363">
              <w:rPr>
                <w:rFonts w:ascii="Arial" w:hAnsi="Arial" w:cs="Arial"/>
              </w:rPr>
              <w:t>boys’</w:t>
            </w:r>
            <w:r>
              <w:rPr>
                <w:rFonts w:ascii="Arial" w:hAnsi="Arial" w:cs="Arial"/>
              </w:rPr>
              <w:t xml:space="preserve">. He had a small part in the play. It was a play about </w:t>
            </w:r>
            <w:r w:rsidR="00A56363">
              <w:rPr>
                <w:rFonts w:ascii="Arial" w:hAnsi="Arial" w:cs="Arial"/>
              </w:rPr>
              <w:t>women,</w:t>
            </w:r>
            <w:r>
              <w:rPr>
                <w:rFonts w:ascii="Arial" w:hAnsi="Arial" w:cs="Arial"/>
              </w:rPr>
              <w:t xml:space="preserve"> and he was the boy at the side</w:t>
            </w:r>
            <w:r w:rsidR="00A56363">
              <w:rPr>
                <w:rFonts w:ascii="Arial" w:hAnsi="Arial" w:cs="Arial"/>
              </w:rPr>
              <w:t xml:space="preserve">. He was perfectly good at what he was doing. </w:t>
            </w:r>
          </w:p>
        </w:tc>
      </w:tr>
      <w:tr w:rsidR="00BA218E" w:rsidRPr="00594994" w14:paraId="42EF76CE" w14:textId="77777777" w:rsidTr="00040642">
        <w:tc>
          <w:tcPr>
            <w:tcW w:w="2644" w:type="dxa"/>
          </w:tcPr>
          <w:p w14:paraId="250C2965" w14:textId="79FC6237" w:rsidR="00BA218E" w:rsidRDefault="00A56363" w:rsidP="00040642">
            <w:pPr>
              <w:rPr>
                <w:rFonts w:ascii="Arial" w:hAnsi="Arial" w:cs="Arial"/>
                <w:b/>
                <w:bCs/>
              </w:rPr>
            </w:pPr>
            <w:r>
              <w:rPr>
                <w:rFonts w:ascii="Arial" w:hAnsi="Arial" w:cs="Arial"/>
                <w:b/>
                <w:bCs/>
              </w:rPr>
              <w:t>35.50</w:t>
            </w:r>
          </w:p>
        </w:tc>
        <w:tc>
          <w:tcPr>
            <w:tcW w:w="6372" w:type="dxa"/>
          </w:tcPr>
          <w:p w14:paraId="5E9CDDA2" w14:textId="322BFD2F" w:rsidR="00BA218E" w:rsidRDefault="00A56363" w:rsidP="00B110DE">
            <w:pPr>
              <w:rPr>
                <w:rFonts w:ascii="Arial" w:hAnsi="Arial" w:cs="Arial"/>
              </w:rPr>
            </w:pPr>
            <w:r>
              <w:rPr>
                <w:rFonts w:ascii="Arial" w:hAnsi="Arial" w:cs="Arial"/>
              </w:rPr>
              <w:t xml:space="preserve">Simon thinks the link between the Greek Play Committee and the Arts Theatre is ‘very important’. He is proud that the </w:t>
            </w:r>
            <w:r w:rsidR="00174D8B">
              <w:rPr>
                <w:rFonts w:ascii="Arial" w:hAnsi="Arial" w:cs="Arial"/>
              </w:rPr>
              <w:t>t</w:t>
            </w:r>
            <w:r>
              <w:rPr>
                <w:rFonts w:ascii="Arial" w:hAnsi="Arial" w:cs="Arial"/>
              </w:rPr>
              <w:t xml:space="preserve">heatre puts on the play and puts it on properly. </w:t>
            </w:r>
          </w:p>
        </w:tc>
      </w:tr>
      <w:tr w:rsidR="00BA218E" w:rsidRPr="00594994" w14:paraId="6BD4867E" w14:textId="77777777" w:rsidTr="00040642">
        <w:tc>
          <w:tcPr>
            <w:tcW w:w="2644" w:type="dxa"/>
          </w:tcPr>
          <w:p w14:paraId="597A678A" w14:textId="623A7441" w:rsidR="00BA218E" w:rsidRDefault="00A56363" w:rsidP="00040642">
            <w:pPr>
              <w:rPr>
                <w:rFonts w:ascii="Arial" w:hAnsi="Arial" w:cs="Arial"/>
                <w:b/>
                <w:bCs/>
              </w:rPr>
            </w:pPr>
            <w:r>
              <w:rPr>
                <w:rFonts w:ascii="Arial" w:hAnsi="Arial" w:cs="Arial"/>
                <w:b/>
                <w:bCs/>
              </w:rPr>
              <w:lastRenderedPageBreak/>
              <w:t>38.50</w:t>
            </w:r>
          </w:p>
        </w:tc>
        <w:tc>
          <w:tcPr>
            <w:tcW w:w="6372" w:type="dxa"/>
          </w:tcPr>
          <w:p w14:paraId="47E308C7" w14:textId="72990416" w:rsidR="00BA218E" w:rsidRDefault="00A56363" w:rsidP="00B110DE">
            <w:pPr>
              <w:rPr>
                <w:rFonts w:ascii="Arial" w:hAnsi="Arial" w:cs="Arial"/>
              </w:rPr>
            </w:pPr>
            <w:r>
              <w:rPr>
                <w:rFonts w:ascii="Arial" w:hAnsi="Arial" w:cs="Arial"/>
              </w:rPr>
              <w:t xml:space="preserve">The 2022 play is a double bill of </w:t>
            </w:r>
            <w:r w:rsidRPr="00174D8B">
              <w:rPr>
                <w:rFonts w:ascii="Arial" w:hAnsi="Arial" w:cs="Arial"/>
                <w:i/>
                <w:iCs/>
              </w:rPr>
              <w:t>The Persians</w:t>
            </w:r>
            <w:r>
              <w:rPr>
                <w:rFonts w:ascii="Arial" w:hAnsi="Arial" w:cs="Arial"/>
              </w:rPr>
              <w:t xml:space="preserve"> and </w:t>
            </w:r>
            <w:r w:rsidRPr="00174D8B">
              <w:rPr>
                <w:rFonts w:ascii="Arial" w:hAnsi="Arial" w:cs="Arial"/>
                <w:i/>
                <w:iCs/>
              </w:rPr>
              <w:t>The Cyclops.</w:t>
            </w:r>
          </w:p>
        </w:tc>
      </w:tr>
      <w:tr w:rsidR="00FB073C" w:rsidRPr="00594994" w14:paraId="50C5C0C2" w14:textId="77777777" w:rsidTr="00040642">
        <w:tc>
          <w:tcPr>
            <w:tcW w:w="2644" w:type="dxa"/>
          </w:tcPr>
          <w:p w14:paraId="1EBA7407" w14:textId="435AD40E" w:rsidR="00FB073C" w:rsidRPr="00FB073C" w:rsidRDefault="00FB073C" w:rsidP="00040642">
            <w:pPr>
              <w:rPr>
                <w:rFonts w:ascii="Arial" w:hAnsi="Arial" w:cs="Arial"/>
                <w:b/>
                <w:bCs/>
              </w:rPr>
            </w:pPr>
            <w:r w:rsidRPr="00FB073C">
              <w:rPr>
                <w:rFonts w:ascii="Arial" w:hAnsi="Arial" w:cs="Arial"/>
                <w:b/>
                <w:bCs/>
              </w:rPr>
              <w:t>END.</w:t>
            </w:r>
          </w:p>
        </w:tc>
        <w:tc>
          <w:tcPr>
            <w:tcW w:w="6372" w:type="dxa"/>
          </w:tcPr>
          <w:p w14:paraId="7201F94C" w14:textId="1794D277" w:rsidR="00FB073C" w:rsidRDefault="00FB073C" w:rsidP="00B110DE">
            <w:pPr>
              <w:rPr>
                <w:rFonts w:ascii="Arial" w:hAnsi="Arial" w:cs="Arial"/>
              </w:rPr>
            </w:pPr>
          </w:p>
        </w:tc>
      </w:tr>
    </w:tbl>
    <w:p w14:paraId="120845A2" w14:textId="77777777" w:rsidR="006A4E4D" w:rsidRDefault="00FC5CC0" w:rsidP="00943BC9">
      <w:pPr>
        <w:jc w:val="right"/>
      </w:pPr>
    </w:p>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165CF"/>
    <w:rsid w:val="0008726E"/>
    <w:rsid w:val="00174D8B"/>
    <w:rsid w:val="001C48AF"/>
    <w:rsid w:val="002F0195"/>
    <w:rsid w:val="003C790F"/>
    <w:rsid w:val="003D3BD4"/>
    <w:rsid w:val="003E5B62"/>
    <w:rsid w:val="004F2D85"/>
    <w:rsid w:val="005314E7"/>
    <w:rsid w:val="00606EA5"/>
    <w:rsid w:val="006C467B"/>
    <w:rsid w:val="00812F52"/>
    <w:rsid w:val="00844755"/>
    <w:rsid w:val="009013F6"/>
    <w:rsid w:val="00943BC9"/>
    <w:rsid w:val="00987BB1"/>
    <w:rsid w:val="009C0794"/>
    <w:rsid w:val="009F16C5"/>
    <w:rsid w:val="00A23B6C"/>
    <w:rsid w:val="00A56363"/>
    <w:rsid w:val="00AD4A67"/>
    <w:rsid w:val="00B110DE"/>
    <w:rsid w:val="00B9474C"/>
    <w:rsid w:val="00BA218E"/>
    <w:rsid w:val="00C42C77"/>
    <w:rsid w:val="00DC2790"/>
    <w:rsid w:val="00DE2D5E"/>
    <w:rsid w:val="00DF4BC6"/>
    <w:rsid w:val="00EC372E"/>
    <w:rsid w:val="00F60445"/>
    <w:rsid w:val="00F67B3B"/>
    <w:rsid w:val="00FB073C"/>
    <w:rsid w:val="00FC5CC0"/>
    <w:rsid w:val="00FE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16</cp:revision>
  <dcterms:created xsi:type="dcterms:W3CDTF">2022-03-23T14:20:00Z</dcterms:created>
  <dcterms:modified xsi:type="dcterms:W3CDTF">2022-03-23T16:37:00Z</dcterms:modified>
</cp:coreProperties>
</file>